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27" w:rsidRDefault="00533648">
      <w:pPr>
        <w:pStyle w:val="20"/>
        <w:framePr w:w="9446" w:h="13262" w:hRule="exact" w:wrap="none" w:vAnchor="page" w:hAnchor="page" w:x="1558" w:y="1438"/>
        <w:shd w:val="clear" w:color="auto" w:fill="auto"/>
        <w:spacing w:after="0" w:line="280" w:lineRule="exact"/>
        <w:ind w:left="20"/>
      </w:pPr>
      <w:bookmarkStart w:id="0" w:name="bookmark0"/>
      <w:r>
        <w:t>Акт проверки</w:t>
      </w:r>
      <w:bookmarkEnd w:id="0"/>
    </w:p>
    <w:p w:rsidR="007E6C27" w:rsidRDefault="00533648">
      <w:pPr>
        <w:pStyle w:val="22"/>
        <w:framePr w:w="9446" w:h="13262" w:hRule="exact" w:wrap="none" w:vAnchor="page" w:hAnchor="page" w:x="1558" w:y="1438"/>
        <w:shd w:val="clear" w:color="auto" w:fill="auto"/>
        <w:spacing w:before="0"/>
        <w:ind w:left="360"/>
      </w:pPr>
      <w:r>
        <w:t>соблюдения бюджетным учреждением Ханты-Мансийского автономного</w:t>
      </w:r>
    </w:p>
    <w:p w:rsidR="007E6C27" w:rsidRDefault="00533648">
      <w:pPr>
        <w:pStyle w:val="22"/>
        <w:framePr w:w="9446" w:h="13262" w:hRule="exact" w:wrap="none" w:vAnchor="page" w:hAnchor="page" w:x="1558" w:y="1438"/>
        <w:shd w:val="clear" w:color="auto" w:fill="auto"/>
        <w:spacing w:before="0"/>
        <w:ind w:left="20"/>
        <w:jc w:val="center"/>
      </w:pPr>
      <w:r>
        <w:t>округа - Югры «Сургутский реабилитационный центр для детей и</w:t>
      </w:r>
      <w:r>
        <w:br/>
        <w:t>подростков с ограниченными возможностями» установленного порядка</w:t>
      </w:r>
    </w:p>
    <w:p w:rsidR="007E6C27" w:rsidRDefault="00533648">
      <w:pPr>
        <w:pStyle w:val="22"/>
        <w:framePr w:w="9446" w:h="13262" w:hRule="exact" w:wrap="none" w:vAnchor="page" w:hAnchor="page" w:x="1558" w:y="1438"/>
        <w:shd w:val="clear" w:color="auto" w:fill="auto"/>
        <w:spacing w:before="0" w:after="369"/>
        <w:ind w:left="20"/>
        <w:jc w:val="center"/>
      </w:pPr>
      <w:r>
        <w:t xml:space="preserve">управления и распоряжения государственным имуществом </w:t>
      </w:r>
      <w:r>
        <w:t>Хант</w:t>
      </w:r>
      <w:proofErr w:type="gramStart"/>
      <w:r>
        <w:t>ы-</w:t>
      </w:r>
      <w:proofErr w:type="gramEnd"/>
      <w:r>
        <w:br/>
        <w:t>Мансийского автономного округа — Югры</w:t>
      </w:r>
    </w:p>
    <w:p w:rsidR="007E6C27" w:rsidRDefault="00533648">
      <w:pPr>
        <w:pStyle w:val="22"/>
        <w:framePr w:w="9446" w:h="13262" w:hRule="exact" w:wrap="none" w:vAnchor="page" w:hAnchor="page" w:x="1558" w:y="1438"/>
        <w:shd w:val="clear" w:color="auto" w:fill="auto"/>
        <w:tabs>
          <w:tab w:val="left" w:pos="6629"/>
        </w:tabs>
        <w:spacing w:before="0" w:after="344" w:line="260" w:lineRule="exact"/>
        <w:jc w:val="both"/>
      </w:pPr>
      <w:r>
        <w:t>г. Сургут</w:t>
      </w:r>
      <w:r>
        <w:tab/>
        <w:t>19 сентября 2019 года</w:t>
      </w:r>
    </w:p>
    <w:p w:rsidR="007E6C27" w:rsidRDefault="00533648">
      <w:pPr>
        <w:pStyle w:val="22"/>
        <w:framePr w:w="9446" w:h="13262" w:hRule="exact" w:wrap="none" w:vAnchor="page" w:hAnchor="page" w:x="1558" w:y="1438"/>
        <w:shd w:val="clear" w:color="auto" w:fill="auto"/>
        <w:spacing w:before="0"/>
        <w:ind w:firstLine="740"/>
        <w:jc w:val="both"/>
      </w:pPr>
      <w:proofErr w:type="gramStart"/>
      <w:r>
        <w:t>Во исполнение распоряжения Департамента по управлению государственным имуществом Ханты-Мансийского автономного округа - Югры от 29 ноября 2018 года № 13-Р-2498 «Об утверждении пла</w:t>
      </w:r>
      <w:r>
        <w:t xml:space="preserve">на проверок государственных учреждений автономного округа Департаментом по управлению государственным имуществом Ханты-Мансийского автономного округа - Югры на 2019 год», распоряжения Департамента по управлению государственным имуществом Ханты-Мансийского </w:t>
      </w:r>
      <w:r>
        <w:t>автономного округа - Югры от 27 августа 2019 года № 13-Р-1460 «О плановой выездной проверке деятельности государственных</w:t>
      </w:r>
      <w:proofErr w:type="gramEnd"/>
      <w:r>
        <w:t xml:space="preserve"> учреждений» проверочной группой в составе:</w:t>
      </w:r>
    </w:p>
    <w:p w:rsidR="007E6C27" w:rsidRDefault="00533648">
      <w:pPr>
        <w:pStyle w:val="22"/>
        <w:framePr w:w="9446" w:h="13262" w:hRule="exact" w:wrap="none" w:vAnchor="page" w:hAnchor="page" w:x="1558" w:y="1438"/>
        <w:numPr>
          <w:ilvl w:val="0"/>
          <w:numId w:val="1"/>
        </w:numPr>
        <w:shd w:val="clear" w:color="auto" w:fill="auto"/>
        <w:tabs>
          <w:tab w:val="left" w:pos="1071"/>
        </w:tabs>
        <w:spacing w:before="0"/>
        <w:ind w:firstLine="740"/>
        <w:jc w:val="both"/>
      </w:pPr>
      <w:r>
        <w:t xml:space="preserve">Усманова Е.В. — заместитель начальника отдела некоммерческих организаций управления </w:t>
      </w:r>
      <w:r>
        <w:t>корпоративной политики Департамента по управлению государственным имуществом Ханты-Мансийского автономного округа - Югры (далее - Департамент),</w:t>
      </w:r>
    </w:p>
    <w:p w:rsidR="007E6C27" w:rsidRDefault="00533648">
      <w:pPr>
        <w:pStyle w:val="22"/>
        <w:framePr w:w="9446" w:h="13262" w:hRule="exact" w:wrap="none" w:vAnchor="page" w:hAnchor="page" w:x="1558" w:y="1438"/>
        <w:numPr>
          <w:ilvl w:val="0"/>
          <w:numId w:val="1"/>
        </w:numPr>
        <w:shd w:val="clear" w:color="auto" w:fill="auto"/>
        <w:tabs>
          <w:tab w:val="left" w:pos="1071"/>
        </w:tabs>
        <w:spacing w:before="0"/>
        <w:ind w:firstLine="740"/>
        <w:jc w:val="both"/>
      </w:pPr>
      <w:proofErr w:type="spellStart"/>
      <w:r>
        <w:t>Дворникова</w:t>
      </w:r>
      <w:proofErr w:type="spellEnd"/>
      <w:r>
        <w:t xml:space="preserve"> О.И. - консультант отдела земельных отношений, геоинформационных систем и картографии управления земе</w:t>
      </w:r>
      <w:r>
        <w:t>льных отношений Департамента,</w:t>
      </w:r>
    </w:p>
    <w:p w:rsidR="007E6C27" w:rsidRDefault="00533648">
      <w:pPr>
        <w:pStyle w:val="22"/>
        <w:framePr w:w="9446" w:h="13262" w:hRule="exact" w:wrap="none" w:vAnchor="page" w:hAnchor="page" w:x="1558" w:y="1438"/>
        <w:shd w:val="clear" w:color="auto" w:fill="auto"/>
        <w:spacing w:before="0"/>
        <w:ind w:firstLine="740"/>
        <w:jc w:val="both"/>
      </w:pPr>
      <w:r>
        <w:t xml:space="preserve">проведена плановая выездная проверка в отношении бюджетного учреждения Ханты-Мансийского автономного округа - Югры «Сургутский реабилитационный центр для детей и подростков с ограниченными возможностями» (далее — учреждение), </w:t>
      </w:r>
      <w:r>
        <w:t>по следующим основным вопросам:</w:t>
      </w:r>
    </w:p>
    <w:p w:rsidR="007E6C27" w:rsidRDefault="00533648">
      <w:pPr>
        <w:pStyle w:val="22"/>
        <w:framePr w:w="9446" w:h="13262" w:hRule="exact" w:wrap="none" w:vAnchor="page" w:hAnchor="page" w:x="1558" w:y="1438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firstLine="740"/>
        <w:jc w:val="both"/>
      </w:pPr>
      <w:r>
        <w:t>Использование по назначению, обеспечение сохранности имущества, находящегося в оперативном управлении государственных учреждений автономного округа, правомерность распоряжения им и списания.</w:t>
      </w:r>
    </w:p>
    <w:p w:rsidR="007E6C27" w:rsidRDefault="00533648">
      <w:pPr>
        <w:pStyle w:val="22"/>
        <w:framePr w:w="9446" w:h="13262" w:hRule="exact" w:wrap="none" w:vAnchor="page" w:hAnchor="page" w:x="1558" w:y="1438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firstLine="740"/>
        <w:jc w:val="both"/>
      </w:pPr>
      <w:r>
        <w:t>Включение имущества в Реестр госу</w:t>
      </w:r>
      <w:r>
        <w:t>дарственного имущества автономного округа.</w:t>
      </w:r>
    </w:p>
    <w:p w:rsidR="007E6C27" w:rsidRDefault="00533648">
      <w:pPr>
        <w:pStyle w:val="22"/>
        <w:framePr w:w="9446" w:h="13262" w:hRule="exact" w:wrap="none" w:vAnchor="page" w:hAnchor="page" w:x="1558" w:y="1438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firstLine="740"/>
        <w:jc w:val="both"/>
      </w:pPr>
      <w:r>
        <w:t>Наличие у учреждения излишнего, не используемого либо используемого не по назначению, имущества, достаточность имущества, необходимого для осуществления деятельности, эффективность его использования.</w:t>
      </w:r>
    </w:p>
    <w:p w:rsidR="007E6C27" w:rsidRDefault="007E6C27">
      <w:pPr>
        <w:rPr>
          <w:sz w:val="2"/>
          <w:szCs w:val="2"/>
        </w:rPr>
        <w:sectPr w:rsidR="007E6C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6C27" w:rsidRDefault="00533648">
      <w:pPr>
        <w:pStyle w:val="22"/>
        <w:framePr w:w="9437" w:h="6320" w:hRule="exact" w:wrap="none" w:vAnchor="page" w:hAnchor="page" w:x="1563" w:y="1035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firstLine="740"/>
        <w:jc w:val="both"/>
      </w:pPr>
      <w:r>
        <w:lastRenderedPageBreak/>
        <w:t>Наличие договоров аренды, безвозмездного пользования, заключенных в отношении имущества, их соответствие законодательству, полнота и своевременность перечисленных арендных платежей.</w:t>
      </w:r>
    </w:p>
    <w:p w:rsidR="007E6C27" w:rsidRDefault="00533648">
      <w:pPr>
        <w:pStyle w:val="22"/>
        <w:framePr w:w="9437" w:h="6320" w:hRule="exact" w:wrap="none" w:vAnchor="page" w:hAnchor="page" w:x="1563" w:y="1035"/>
        <w:numPr>
          <w:ilvl w:val="0"/>
          <w:numId w:val="2"/>
        </w:numPr>
        <w:shd w:val="clear" w:color="auto" w:fill="auto"/>
        <w:tabs>
          <w:tab w:val="left" w:pos="1112"/>
        </w:tabs>
        <w:spacing w:before="0"/>
        <w:ind w:firstLine="740"/>
        <w:jc w:val="both"/>
      </w:pPr>
      <w:r>
        <w:t xml:space="preserve">Наличие у учреждения не завершенных строительством </w:t>
      </w:r>
      <w:r>
        <w:t>объектов, с последующей подготовкой предложений по их дальнейшему использованию.</w:t>
      </w:r>
    </w:p>
    <w:p w:rsidR="007E6C27" w:rsidRDefault="00533648">
      <w:pPr>
        <w:pStyle w:val="22"/>
        <w:framePr w:w="9437" w:h="6320" w:hRule="exact" w:wrap="none" w:vAnchor="page" w:hAnchor="page" w:x="1563" w:y="1035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firstLine="740"/>
        <w:jc w:val="both"/>
      </w:pPr>
      <w:r>
        <w:t>Соответствие имущества техническим регламентам, государственным санитарно-эпидемиологическим правилам и нормам, стандартам и иным требованиям.</w:t>
      </w:r>
    </w:p>
    <w:p w:rsidR="007E6C27" w:rsidRDefault="00533648">
      <w:pPr>
        <w:pStyle w:val="22"/>
        <w:framePr w:w="9437" w:h="6320" w:hRule="exact" w:wrap="none" w:vAnchor="page" w:hAnchor="page" w:x="1563" w:y="1035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firstLine="740"/>
        <w:jc w:val="both"/>
      </w:pPr>
      <w:r>
        <w:t xml:space="preserve">Наличие правоустанавливающих и </w:t>
      </w:r>
      <w:proofErr w:type="spellStart"/>
      <w:r>
        <w:t>п</w:t>
      </w:r>
      <w:r>
        <w:t>равоудостоверяющих</w:t>
      </w:r>
      <w:proofErr w:type="spellEnd"/>
      <w:r>
        <w:t xml:space="preserve"> документов на объекты недвижимого имущества, в том числе на земельные участки.</w:t>
      </w:r>
    </w:p>
    <w:p w:rsidR="007E6C27" w:rsidRDefault="00533648">
      <w:pPr>
        <w:pStyle w:val="22"/>
        <w:framePr w:w="9437" w:h="6320" w:hRule="exact" w:wrap="none" w:vAnchor="page" w:hAnchor="page" w:x="1563" w:y="1035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308"/>
        <w:ind w:firstLine="740"/>
        <w:jc w:val="both"/>
      </w:pPr>
      <w:r>
        <w:t>Участие учреждения в иных юридических лицах.</w:t>
      </w:r>
    </w:p>
    <w:p w:rsidR="007E6C27" w:rsidRDefault="00533648">
      <w:pPr>
        <w:pStyle w:val="22"/>
        <w:framePr w:w="9437" w:h="6320" w:hRule="exact" w:wrap="none" w:vAnchor="page" w:hAnchor="page" w:x="1563" w:y="1035"/>
        <w:shd w:val="clear" w:color="auto" w:fill="auto"/>
        <w:spacing w:before="0" w:line="336" w:lineRule="exact"/>
        <w:ind w:firstLine="740"/>
        <w:jc w:val="both"/>
      </w:pPr>
      <w:r>
        <w:t>Проверка проведена выборочным методом за период с 1 января 2017 года по 31 декабря 2018 года;</w:t>
      </w:r>
    </w:p>
    <w:p w:rsidR="007E6C27" w:rsidRDefault="00533648">
      <w:pPr>
        <w:pStyle w:val="22"/>
        <w:framePr w:w="9437" w:h="6320" w:hRule="exact" w:wrap="none" w:vAnchor="page" w:hAnchor="page" w:x="1563" w:y="1035"/>
        <w:shd w:val="clear" w:color="auto" w:fill="auto"/>
        <w:spacing w:before="0" w:after="366" w:line="260" w:lineRule="exact"/>
        <w:ind w:firstLine="740"/>
        <w:jc w:val="both"/>
      </w:pPr>
      <w:r>
        <w:t xml:space="preserve">Срок проведения: с </w:t>
      </w:r>
      <w:r>
        <w:t>9 сентября 2019 года по 19 сентября 2019 года.</w:t>
      </w:r>
    </w:p>
    <w:p w:rsidR="007E6C27" w:rsidRDefault="00533648">
      <w:pPr>
        <w:pStyle w:val="22"/>
        <w:framePr w:w="9437" w:h="6320" w:hRule="exact" w:wrap="none" w:vAnchor="page" w:hAnchor="page" w:x="1563" w:y="1035"/>
        <w:shd w:val="clear" w:color="auto" w:fill="auto"/>
        <w:spacing w:before="0" w:line="260" w:lineRule="exact"/>
        <w:ind w:firstLine="740"/>
        <w:jc w:val="both"/>
      </w:pPr>
      <w:r>
        <w:t>Краткая характеристика объекта проверки:</w:t>
      </w:r>
    </w:p>
    <w:p w:rsidR="007E6C27" w:rsidRDefault="00533648">
      <w:pPr>
        <w:pStyle w:val="10"/>
        <w:framePr w:wrap="none" w:vAnchor="page" w:hAnchor="page" w:x="1563" w:y="7374"/>
        <w:shd w:val="clear" w:color="auto" w:fill="auto"/>
        <w:spacing w:before="0" w:line="240" w:lineRule="exact"/>
      </w:pPr>
      <w:bookmarkStart w:id="1" w:name="bookmark1"/>
      <w:r>
        <w:t>I.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877"/>
        <w:gridCol w:w="3835"/>
      </w:tblGrid>
      <w:tr w:rsidR="007E6C27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Полное наименование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350" w:lineRule="exact"/>
            </w:pPr>
            <w:r>
              <w:rPr>
                <w:rStyle w:val="23"/>
              </w:rPr>
              <w:t>Бюджетное учреждение «Сургутский</w:t>
            </w:r>
          </w:p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350" w:lineRule="exact"/>
            </w:pPr>
            <w:r>
              <w:rPr>
                <w:rStyle w:val="23"/>
              </w:rPr>
              <w:t>реабилитационный центр для детей и подростков с ограниченными возможностями»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1.1.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Сокращенное </w:t>
            </w:r>
            <w:r>
              <w:rPr>
                <w:rStyle w:val="23"/>
              </w:rPr>
              <w:t>наименование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322" w:lineRule="exact"/>
            </w:pPr>
            <w:r>
              <w:rPr>
                <w:rStyle w:val="23"/>
              </w:rPr>
              <w:t>БУ «Сургутский реабилитационный центр»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1.2.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1.2.1. ИНН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8602020390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C27" w:rsidRDefault="007E6C27">
            <w:pPr>
              <w:framePr w:w="9389" w:h="7699" w:wrap="none" w:vAnchor="page" w:hAnchor="page" w:x="1582" w:y="7662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1.2.2. ОГРН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1028600605220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C27" w:rsidRDefault="007E6C27">
            <w:pPr>
              <w:framePr w:w="9389" w:h="7699" w:wrap="none" w:vAnchor="page" w:hAnchor="page" w:x="1582" w:y="7662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1.2.3. Местонахождение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г. Сургут, ул. Бажова, д. 42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Отраслевой орган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322" w:lineRule="exact"/>
            </w:pPr>
            <w:r>
              <w:rPr>
                <w:rStyle w:val="23"/>
              </w:rPr>
              <w:t xml:space="preserve">Департамент социального развития Ханты-Мансийского автономного округа - </w:t>
            </w:r>
            <w:r>
              <w:rPr>
                <w:rStyle w:val="23"/>
              </w:rPr>
              <w:t>Югры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Сведения о руководителе: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3.1.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Фамилия, имя, отчество директора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355" w:lineRule="exact"/>
            </w:pPr>
            <w:r>
              <w:rPr>
                <w:rStyle w:val="23"/>
              </w:rPr>
              <w:t>Королева Светлана Вячеславовна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3.2.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Контактный телефон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8(3462)34-03-25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4.</w:t>
            </w: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Сведения о главном бухгалтере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4.1.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Фамилия, имя, отчество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389" w:h="7699" w:wrap="none" w:vAnchor="page" w:hAnchor="page" w:x="1582" w:y="7662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 xml:space="preserve">Днепрова Г </w:t>
            </w:r>
            <w:proofErr w:type="spellStart"/>
            <w:r>
              <w:rPr>
                <w:rStyle w:val="23"/>
              </w:rPr>
              <w:t>алина</w:t>
            </w:r>
            <w:proofErr w:type="spellEnd"/>
            <w:r>
              <w:rPr>
                <w:rStyle w:val="23"/>
              </w:rPr>
              <w:t xml:space="preserve"> Владимировна</w:t>
            </w:r>
          </w:p>
        </w:tc>
      </w:tr>
    </w:tbl>
    <w:p w:rsidR="007E6C27" w:rsidRDefault="007E6C27">
      <w:pPr>
        <w:rPr>
          <w:sz w:val="2"/>
          <w:szCs w:val="2"/>
        </w:rPr>
        <w:sectPr w:rsidR="007E6C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872"/>
        <w:gridCol w:w="3859"/>
      </w:tblGrid>
      <w:tr w:rsidR="007E6C2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lastRenderedPageBreak/>
              <w:t>4.2.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Контактный телефон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8(3462)36-47-75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80" w:lineRule="exact"/>
              <w:jc w:val="center"/>
            </w:pPr>
            <w:r>
              <w:rPr>
                <w:rStyle w:val="214pt"/>
              </w:rPr>
              <w:t>Сведения об исполнителе, заполнявшем таблицу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5.1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Фамилия, имя, отчество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331" w:lineRule="exact"/>
            </w:pPr>
            <w:r>
              <w:rPr>
                <w:rStyle w:val="23"/>
              </w:rPr>
              <w:t>Маслова Валентина Владимировна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5.2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Должность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бухгалтер</w:t>
            </w:r>
          </w:p>
        </w:tc>
      </w:tr>
      <w:tr w:rsidR="007E6C2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5.3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Контактный телефон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27" w:rsidRDefault="00533648">
            <w:pPr>
              <w:pStyle w:val="22"/>
              <w:framePr w:w="9418" w:h="2170" w:wrap="none" w:vAnchor="page" w:hAnchor="page" w:x="1572" w:y="1076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8(3462)35-52-39</w:t>
            </w:r>
          </w:p>
        </w:tc>
      </w:tr>
    </w:tbl>
    <w:p w:rsidR="007E6C27" w:rsidRDefault="00533648">
      <w:pPr>
        <w:pStyle w:val="22"/>
        <w:framePr w:w="9456" w:h="11882" w:hRule="exact" w:wrap="none" w:vAnchor="page" w:hAnchor="page" w:x="1553" w:y="3834"/>
        <w:shd w:val="clear" w:color="auto" w:fill="auto"/>
        <w:spacing w:before="0" w:after="296"/>
        <w:ind w:firstLine="760"/>
        <w:jc w:val="both"/>
      </w:pPr>
      <w:r>
        <w:t xml:space="preserve">Перечень </w:t>
      </w:r>
      <w:r>
        <w:t>нормативных и иных правовых актов, соблюдение которых проверено в ходе проверки, приведен в приложении 1 к настоящему акту.</w:t>
      </w:r>
    </w:p>
    <w:p w:rsidR="007E6C27" w:rsidRDefault="00533648">
      <w:pPr>
        <w:pStyle w:val="30"/>
        <w:framePr w:w="9456" w:h="11882" w:hRule="exact" w:wrap="none" w:vAnchor="page" w:hAnchor="page" w:x="1553" w:y="3834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</w:pPr>
      <w:r>
        <w:t>Использование по назначению, обеспечение сохранности имущества, находящегося в оперативном управлении государственных учреждений авт</w:t>
      </w:r>
      <w:r>
        <w:t>ономного округа, правомерность распоряжения им и списания.</w:t>
      </w:r>
    </w:p>
    <w:p w:rsidR="007E6C27" w:rsidRDefault="00533648">
      <w:pPr>
        <w:pStyle w:val="22"/>
        <w:framePr w:w="9456" w:h="11882" w:hRule="exact" w:wrap="none" w:vAnchor="page" w:hAnchor="page" w:x="1553" w:y="3834"/>
        <w:shd w:val="clear" w:color="auto" w:fill="auto"/>
        <w:spacing w:before="0"/>
        <w:ind w:firstLine="760"/>
        <w:jc w:val="both"/>
      </w:pPr>
      <w:r>
        <w:t>Учреждение использует имущество, находящееся в оперативном управлении, в соответствие с уставной деятельностью.</w:t>
      </w:r>
    </w:p>
    <w:p w:rsidR="007E6C27" w:rsidRDefault="00533648">
      <w:pPr>
        <w:pStyle w:val="22"/>
        <w:framePr w:w="9456" w:h="11882" w:hRule="exact" w:wrap="none" w:vAnchor="page" w:hAnchor="page" w:x="1553" w:y="3834"/>
        <w:shd w:val="clear" w:color="auto" w:fill="auto"/>
        <w:spacing w:before="0"/>
        <w:ind w:firstLine="760"/>
        <w:jc w:val="both"/>
      </w:pPr>
      <w:r>
        <w:t xml:space="preserve">На момент проверки в оперативном управлении Учреждения находится 5 объектов </w:t>
      </w:r>
      <w:r>
        <w:t>недвижимого имущества: 3 объекта жилого фонда (квартиры), здание Центра реабилитации детей с ограниченными возможностями «Добрый волшебник», сооружение «Ограждение». Здание находится в удовлетворительном состоянии. Учреждением заключены договоры вод</w:t>
      </w:r>
      <w:proofErr w:type="gramStart"/>
      <w:r>
        <w:t>о-</w:t>
      </w:r>
      <w:proofErr w:type="gramEnd"/>
      <w:r>
        <w:t xml:space="preserve"> тепл</w:t>
      </w:r>
      <w:r>
        <w:t xml:space="preserve">о-электроснабжение, на оказание услуг по содержанию, комплексному техническому обслуживанию и эксплуатации зданий и инженерных сетей. Земельный участок площадью 9068, 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закреплен за учреждением на праве постоянного бессрочного пользования.</w:t>
      </w:r>
    </w:p>
    <w:p w:rsidR="007E6C27" w:rsidRDefault="00533648">
      <w:pPr>
        <w:pStyle w:val="22"/>
        <w:framePr w:w="9456" w:h="11882" w:hRule="exact" w:wrap="none" w:vAnchor="page" w:hAnchor="page" w:x="1553" w:y="3834"/>
        <w:shd w:val="clear" w:color="auto" w:fill="auto"/>
        <w:spacing w:before="0"/>
        <w:ind w:firstLine="760"/>
        <w:jc w:val="both"/>
      </w:pPr>
      <w:r>
        <w:t>На квартир</w:t>
      </w:r>
      <w:r>
        <w:t>ы заключены договоры найма служебного помещения.</w:t>
      </w:r>
    </w:p>
    <w:p w:rsidR="007E6C27" w:rsidRDefault="00533648">
      <w:pPr>
        <w:pStyle w:val="22"/>
        <w:framePr w:w="9456" w:h="11882" w:hRule="exact" w:wrap="none" w:vAnchor="page" w:hAnchor="page" w:x="1553" w:y="3834"/>
        <w:shd w:val="clear" w:color="auto" w:fill="auto"/>
        <w:spacing w:before="0"/>
        <w:ind w:firstLine="760"/>
        <w:jc w:val="both"/>
      </w:pPr>
      <w:r>
        <w:t>В ходе проверки проведен осмотр объектов недвижимого имущества, 3 единиц автотранспорта, 12 единиц особо ценного движимого имущества. В результате осмотра зданий, помещений замечания в части технического сос</w:t>
      </w:r>
      <w:r>
        <w:t>тояния отсутствуют.</w:t>
      </w:r>
    </w:p>
    <w:p w:rsidR="007E6C27" w:rsidRDefault="00533648">
      <w:pPr>
        <w:pStyle w:val="22"/>
        <w:framePr w:w="9456" w:h="11882" w:hRule="exact" w:wrap="none" w:vAnchor="page" w:hAnchor="page" w:x="1553" w:y="3834"/>
        <w:shd w:val="clear" w:color="auto" w:fill="auto"/>
        <w:spacing w:before="0"/>
        <w:ind w:firstLine="760"/>
        <w:jc w:val="both"/>
      </w:pPr>
      <w:r>
        <w:t>В течение проверяемого периода учреждением было списано особо ценное движимое имущество «</w:t>
      </w:r>
      <w:proofErr w:type="spellStart"/>
      <w:r>
        <w:t>Гипоксикатор</w:t>
      </w:r>
      <w:proofErr w:type="spellEnd"/>
      <w:r>
        <w:t xml:space="preserve"> «Эверест-1» балансовой стоимостью 345 600,00 рублей (распоряжение </w:t>
      </w:r>
      <w:proofErr w:type="spellStart"/>
      <w:r>
        <w:t>Депимущества</w:t>
      </w:r>
      <w:proofErr w:type="spellEnd"/>
      <w:r>
        <w:t xml:space="preserve"> Югры от 02.11.2017 года № 13-р-2316). Имущество утилизи</w:t>
      </w:r>
      <w:r>
        <w:t>ровано, информация об исключении из состава особо ценного движимого имущества из реестра государственной собственности направлена в установленные сроки.</w:t>
      </w:r>
    </w:p>
    <w:p w:rsidR="007E6C27" w:rsidRDefault="00533648">
      <w:pPr>
        <w:pStyle w:val="32"/>
        <w:framePr w:w="9456" w:h="11882" w:hRule="exact" w:wrap="none" w:vAnchor="page" w:hAnchor="page" w:x="1553" w:y="3834"/>
        <w:numPr>
          <w:ilvl w:val="0"/>
          <w:numId w:val="3"/>
        </w:numPr>
        <w:shd w:val="clear" w:color="auto" w:fill="auto"/>
        <w:tabs>
          <w:tab w:val="left" w:pos="1066"/>
        </w:tabs>
      </w:pPr>
      <w:bookmarkStart w:id="2" w:name="bookmark2"/>
      <w:r>
        <w:t>Включение имущества в Реестр государственного имущества автономного округа.</w:t>
      </w:r>
      <w:bookmarkEnd w:id="2"/>
    </w:p>
    <w:p w:rsidR="007E6C27" w:rsidRDefault="00533648">
      <w:pPr>
        <w:pStyle w:val="22"/>
        <w:framePr w:w="9456" w:h="11882" w:hRule="exact" w:wrap="none" w:vAnchor="page" w:hAnchor="page" w:x="1553" w:y="3834"/>
        <w:shd w:val="clear" w:color="auto" w:fill="auto"/>
        <w:spacing w:before="0" w:line="260" w:lineRule="exact"/>
        <w:ind w:firstLine="760"/>
        <w:jc w:val="both"/>
      </w:pPr>
      <w:r>
        <w:t>В ходе проверки установлено</w:t>
      </w:r>
      <w:r>
        <w:t>:</w:t>
      </w:r>
    </w:p>
    <w:p w:rsidR="007E6C27" w:rsidRDefault="00533648">
      <w:pPr>
        <w:pStyle w:val="22"/>
        <w:framePr w:w="9456" w:h="11882" w:hRule="exact" w:wrap="none" w:vAnchor="page" w:hAnchor="page" w:x="1553" w:y="3834"/>
        <w:shd w:val="clear" w:color="auto" w:fill="auto"/>
        <w:spacing w:before="0" w:line="326" w:lineRule="exact"/>
        <w:ind w:firstLine="760"/>
        <w:jc w:val="both"/>
      </w:pPr>
      <w:r>
        <w:t>2.1. отсутствие в реестре государственного имущества информации о регистрации права оперативного управления на объект «Ограждение».</w:t>
      </w:r>
    </w:p>
    <w:p w:rsidR="007E6C27" w:rsidRDefault="007E6C27">
      <w:pPr>
        <w:rPr>
          <w:sz w:val="2"/>
          <w:szCs w:val="2"/>
        </w:rPr>
        <w:sectPr w:rsidR="007E6C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6C27" w:rsidRDefault="00533648">
      <w:pPr>
        <w:pStyle w:val="22"/>
        <w:framePr w:w="9437" w:h="14623" w:hRule="exact" w:wrap="none" w:vAnchor="page" w:hAnchor="page" w:x="1563" w:y="1093"/>
        <w:shd w:val="clear" w:color="auto" w:fill="auto"/>
        <w:spacing w:before="0" w:line="322" w:lineRule="exact"/>
        <w:ind w:firstLine="760"/>
        <w:jc w:val="both"/>
      </w:pPr>
      <w:r>
        <w:lastRenderedPageBreak/>
        <w:t xml:space="preserve">2.2. </w:t>
      </w:r>
      <w:proofErr w:type="gramStart"/>
      <w:r>
        <w:t>Указана неверная информация о площади основного здания Нарушения устранены</w:t>
      </w:r>
      <w:proofErr w:type="gramEnd"/>
      <w:r>
        <w:t xml:space="preserve"> в ходе проверки.</w:t>
      </w:r>
    </w:p>
    <w:p w:rsidR="007E6C27" w:rsidRDefault="00533648">
      <w:pPr>
        <w:pStyle w:val="30"/>
        <w:framePr w:w="9437" w:h="14623" w:hRule="exact" w:wrap="none" w:vAnchor="page" w:hAnchor="page" w:x="1563" w:y="1093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41" w:lineRule="exact"/>
      </w:pPr>
      <w:r>
        <w:t>Наличие у учреждения излишнего, неиспользуемого либо используемого не по назначению, имущества, достаточность имущества, необходимого для осуществления деятельности, эффективность его использования.</w:t>
      </w:r>
    </w:p>
    <w:p w:rsidR="007E6C27" w:rsidRDefault="00533648">
      <w:pPr>
        <w:pStyle w:val="22"/>
        <w:framePr w:w="9437" w:h="14623" w:hRule="exact" w:wrap="none" w:vAnchor="page" w:hAnchor="page" w:x="1563" w:y="1093"/>
        <w:shd w:val="clear" w:color="auto" w:fill="auto"/>
        <w:spacing w:before="0" w:after="300" w:line="341" w:lineRule="exact"/>
        <w:ind w:firstLine="760"/>
        <w:jc w:val="both"/>
      </w:pPr>
      <w:r>
        <w:t>В результате проведения инвентаризации выявлено неиспольз</w:t>
      </w:r>
      <w:r>
        <w:t xml:space="preserve">уемое имущество Автомобиль ГАЗ 2705 не используется, планируется изъятие из оперативного управления для реализации имущества. Договор хранения направлен в </w:t>
      </w:r>
      <w:proofErr w:type="spellStart"/>
      <w:r>
        <w:t>Депимущества</w:t>
      </w:r>
      <w:proofErr w:type="spellEnd"/>
      <w:r>
        <w:t xml:space="preserve"> Югры.</w:t>
      </w:r>
    </w:p>
    <w:p w:rsidR="007E6C27" w:rsidRDefault="00533648">
      <w:pPr>
        <w:pStyle w:val="30"/>
        <w:framePr w:w="9437" w:h="14623" w:hRule="exact" w:wrap="none" w:vAnchor="page" w:hAnchor="page" w:x="1563" w:y="1093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41" w:lineRule="exact"/>
      </w:pPr>
      <w:r>
        <w:t>Наличие договоров аренды, безвозмездного пользования, заключенных в отношении имущ</w:t>
      </w:r>
      <w:r>
        <w:t>ества, их соответствие законодательству, полнота и своевременность перечисленных арендных платежей</w:t>
      </w:r>
    </w:p>
    <w:p w:rsidR="007E6C27" w:rsidRDefault="00533648">
      <w:pPr>
        <w:pStyle w:val="22"/>
        <w:framePr w:w="9437" w:h="14623" w:hRule="exact" w:wrap="none" w:vAnchor="page" w:hAnchor="page" w:x="1563" w:y="1093"/>
        <w:shd w:val="clear" w:color="auto" w:fill="auto"/>
        <w:spacing w:before="0"/>
        <w:ind w:firstLine="760"/>
        <w:jc w:val="both"/>
      </w:pPr>
      <w:r>
        <w:t>В проверяемый период Учреждением не передавалось имущество в аренду или безвозмездное пользование.</w:t>
      </w:r>
    </w:p>
    <w:p w:rsidR="007E6C27" w:rsidRDefault="00533648">
      <w:pPr>
        <w:pStyle w:val="22"/>
        <w:framePr w:w="9437" w:h="14623" w:hRule="exact" w:wrap="none" w:vAnchor="page" w:hAnchor="page" w:x="1563" w:y="1093"/>
        <w:shd w:val="clear" w:color="auto" w:fill="auto"/>
        <w:spacing w:before="0"/>
        <w:ind w:firstLine="760"/>
        <w:jc w:val="both"/>
      </w:pPr>
      <w:r>
        <w:t>В ходе проверки установлено, что учреждением заключен конт</w:t>
      </w:r>
      <w:r>
        <w:t xml:space="preserve">ракт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оказание услуг по физической охране зданий с ООО ЧОП «Центурион +».</w:t>
      </w:r>
    </w:p>
    <w:p w:rsidR="007E6C27" w:rsidRDefault="00533648">
      <w:pPr>
        <w:pStyle w:val="22"/>
        <w:framePr w:w="9437" w:h="14623" w:hRule="exact" w:wrap="none" w:vAnchor="page" w:hAnchor="page" w:x="1563" w:y="1093"/>
        <w:shd w:val="clear" w:color="auto" w:fill="auto"/>
        <w:spacing w:before="0"/>
        <w:ind w:firstLine="760"/>
        <w:jc w:val="both"/>
      </w:pPr>
      <w:r>
        <w:t xml:space="preserve">В ходе </w:t>
      </w:r>
      <w:proofErr w:type="gramStart"/>
      <w:r>
        <w:t>осмотра здания Центра реабилитации детей</w:t>
      </w:r>
      <w:proofErr w:type="gramEnd"/>
      <w:r>
        <w:t xml:space="preserve"> с ограниченными возможностями «Добрый волшебник» выявлено, что на 1 этаже расположен пункт охраны ООО ЧОП «Центурион +». Договор </w:t>
      </w:r>
      <w:r>
        <w:t>на передачу помещений в аренду отсутствует,</w:t>
      </w:r>
    </w:p>
    <w:p w:rsidR="007E6C27" w:rsidRDefault="00533648">
      <w:pPr>
        <w:pStyle w:val="22"/>
        <w:framePr w:w="9437" w:h="14623" w:hRule="exact" w:wrap="none" w:vAnchor="page" w:hAnchor="page" w:x="1563" w:y="1093"/>
        <w:shd w:val="clear" w:color="auto" w:fill="auto"/>
        <w:spacing w:before="0"/>
        <w:ind w:firstLine="600"/>
        <w:jc w:val="both"/>
      </w:pPr>
      <w:r>
        <w:t xml:space="preserve">В соответствии с частью 3 статьи 298 Гражданского кодекса Российской Федерации бюджетное учреждение без согласия собственника не вправе распоряжаться особо ценным движимым имуществом, </w:t>
      </w:r>
      <w:proofErr w:type="gramStart"/>
      <w:r>
        <w:t>закрепленными</w:t>
      </w:r>
      <w:proofErr w:type="gramEnd"/>
      <w:r>
        <w:t xml:space="preserve"> за ним собстве</w:t>
      </w:r>
      <w:r>
        <w:t>нником или приобретенными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7E6C27" w:rsidRDefault="00533648">
      <w:pPr>
        <w:pStyle w:val="22"/>
        <w:framePr w:w="9437" w:h="14623" w:hRule="exact" w:wrap="none" w:vAnchor="page" w:hAnchor="page" w:x="1563" w:y="1093"/>
        <w:shd w:val="clear" w:color="auto" w:fill="auto"/>
        <w:spacing w:before="0"/>
        <w:ind w:firstLine="600"/>
        <w:jc w:val="both"/>
      </w:pPr>
      <w:r>
        <w:t xml:space="preserve">Пунктом 3 статьи 12 Закона Ханты-Мансийского автономного округа - Югры от 16 декабря 2010 года </w:t>
      </w:r>
      <w:r>
        <w:t>№225-оз «Об управлении и о распоряжении имуществом, находящимся в государственной собственности Хант</w:t>
      </w:r>
      <w:proofErr w:type="gramStart"/>
      <w:r>
        <w:t>ы-</w:t>
      </w:r>
      <w:proofErr w:type="gramEnd"/>
      <w:r>
        <w:t xml:space="preserve"> Мансийского автономного округа - Югры» установлено, что не допускается передача государственного имущества в безвозмездное пользование организациям, осущ</w:t>
      </w:r>
      <w:r>
        <w:t>ествляющим предпринимательскую деятельность или для занятия такой деятельностью.</w:t>
      </w:r>
    </w:p>
    <w:p w:rsidR="007E6C27" w:rsidRDefault="00533648">
      <w:pPr>
        <w:pStyle w:val="22"/>
        <w:framePr w:w="9437" w:h="14623" w:hRule="exact" w:wrap="none" w:vAnchor="page" w:hAnchor="page" w:x="1563" w:y="1093"/>
        <w:shd w:val="clear" w:color="auto" w:fill="auto"/>
        <w:spacing w:before="0"/>
        <w:ind w:firstLine="760"/>
        <w:jc w:val="both"/>
      </w:pPr>
      <w:proofErr w:type="gramStart"/>
      <w:r>
        <w:t>В проверяемом периоде ходатайства о передаче в аренду помещений для размещения организаций, оказывающих охранные услуги, в соответствии с Порядком передачи в аренду имущества,</w:t>
      </w:r>
      <w:r>
        <w:t xml:space="preserve"> находящегося в государственной собственности Ханты-Мансийского автономного округа - Югры, утвержденным постановлением Правительства Ханты-Мансийского автономного округа - Югры от 25 сентября 2010 года № 223-п (с 1 апреля</w:t>
      </w:r>
      <w:proofErr w:type="gramEnd"/>
    </w:p>
    <w:p w:rsidR="007E6C27" w:rsidRDefault="007E6C27">
      <w:pPr>
        <w:rPr>
          <w:sz w:val="2"/>
          <w:szCs w:val="2"/>
        </w:rPr>
        <w:sectPr w:rsidR="007E6C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6C27" w:rsidRDefault="00533648">
      <w:pPr>
        <w:pStyle w:val="22"/>
        <w:framePr w:w="9427" w:h="14712" w:hRule="exact" w:wrap="none" w:vAnchor="page" w:hAnchor="page" w:x="1568" w:y="1004"/>
        <w:shd w:val="clear" w:color="auto" w:fill="auto"/>
        <w:spacing w:before="0" w:after="308" w:line="355" w:lineRule="exact"/>
        <w:jc w:val="both"/>
      </w:pPr>
      <w:proofErr w:type="gramStart"/>
      <w:r>
        <w:lastRenderedPageBreak/>
        <w:t xml:space="preserve">2018 года: </w:t>
      </w:r>
      <w:r>
        <w:t>от 27 ноября 2017 года № 466-п), в адрес Департамента не поступали.</w:t>
      </w:r>
      <w:proofErr w:type="gramEnd"/>
    </w:p>
    <w:p w:rsidR="007E6C27" w:rsidRDefault="00533648">
      <w:pPr>
        <w:pStyle w:val="30"/>
        <w:framePr w:w="9427" w:h="14712" w:hRule="exact" w:wrap="none" w:vAnchor="page" w:hAnchor="page" w:x="1568" w:y="1004"/>
        <w:numPr>
          <w:ilvl w:val="0"/>
          <w:numId w:val="3"/>
        </w:numPr>
        <w:shd w:val="clear" w:color="auto" w:fill="auto"/>
        <w:tabs>
          <w:tab w:val="left" w:pos="1190"/>
        </w:tabs>
        <w:spacing w:before="0" w:line="346" w:lineRule="exact"/>
      </w:pPr>
      <w:r>
        <w:t>Наличие у учреждения не завершенных строительством объектов, с последующей подготовкой предложений по их дальнейшему использованию.</w:t>
      </w:r>
    </w:p>
    <w:p w:rsidR="007E6C27" w:rsidRDefault="00533648">
      <w:pPr>
        <w:pStyle w:val="22"/>
        <w:framePr w:w="9427" w:h="14712" w:hRule="exact" w:wrap="none" w:vAnchor="page" w:hAnchor="page" w:x="1568" w:y="1004"/>
        <w:shd w:val="clear" w:color="auto" w:fill="auto"/>
        <w:spacing w:before="0" w:after="296" w:line="341" w:lineRule="exact"/>
        <w:ind w:firstLine="760"/>
        <w:jc w:val="both"/>
      </w:pPr>
      <w:r>
        <w:t>Объекты незавершенного строительства в оперативном управ</w:t>
      </w:r>
      <w:r>
        <w:t>лении отсутствуют.</w:t>
      </w:r>
    </w:p>
    <w:p w:rsidR="007E6C27" w:rsidRDefault="00533648">
      <w:pPr>
        <w:pStyle w:val="30"/>
        <w:framePr w:w="9427" w:h="14712" w:hRule="exact" w:wrap="none" w:vAnchor="page" w:hAnchor="page" w:x="1568" w:y="1004"/>
        <w:numPr>
          <w:ilvl w:val="0"/>
          <w:numId w:val="3"/>
        </w:numPr>
        <w:shd w:val="clear" w:color="auto" w:fill="auto"/>
        <w:tabs>
          <w:tab w:val="left" w:pos="1402"/>
        </w:tabs>
        <w:spacing w:before="0" w:line="346" w:lineRule="exact"/>
      </w:pPr>
      <w:r>
        <w:t>Соответствие имущества техническим регламентам, государственным санитарно-эпидемиологическим правилам и нормам, стандартам и иным требованиям.</w:t>
      </w:r>
    </w:p>
    <w:p w:rsidR="007E6C27" w:rsidRDefault="00533648">
      <w:pPr>
        <w:pStyle w:val="22"/>
        <w:framePr w:w="9427" w:h="14712" w:hRule="exact" w:wrap="none" w:vAnchor="page" w:hAnchor="page" w:x="1568" w:y="1004"/>
        <w:shd w:val="clear" w:color="auto" w:fill="auto"/>
        <w:spacing w:before="0"/>
        <w:ind w:firstLine="760"/>
        <w:jc w:val="both"/>
      </w:pPr>
      <w:r>
        <w:t>В июле 2017 года была проведена проверка территориальным отделом в г. Сургуте и Сургутском рай</w:t>
      </w:r>
      <w:r>
        <w:t>оне по Управления Федеральной службы по надзору в сфере защиты прав потребителей и благополучия человека по Ханты-Мансийскому автономному округу - Югре, в результате которой были выявлены нарушения санитарного законодательства и предписано провести обязате</w:t>
      </w:r>
      <w:r>
        <w:t>льные мероприятия. Нарушения устранены, все пункты предписания выполнены.</w:t>
      </w:r>
    </w:p>
    <w:p w:rsidR="007E6C27" w:rsidRDefault="00533648">
      <w:pPr>
        <w:pStyle w:val="22"/>
        <w:framePr w:w="9427" w:h="14712" w:hRule="exact" w:wrap="none" w:vAnchor="page" w:hAnchor="page" w:x="1568" w:y="1004"/>
        <w:shd w:val="clear" w:color="auto" w:fill="auto"/>
        <w:spacing w:before="0" w:after="300" w:line="350" w:lineRule="exact"/>
        <w:ind w:firstLine="760"/>
        <w:jc w:val="both"/>
      </w:pPr>
      <w:r>
        <w:t>В августе 2018 года в ходе проверки лагеря дневного пребывания на базе учреждения территориальным отделом в г. Сургуте и Сургутском районе по Управления Федеральной службы по надзору</w:t>
      </w:r>
      <w:r>
        <w:t xml:space="preserve"> в сфере защиты прав потребителей и благополучия человека по Ханты-Мансийскому автономному округу - Югре, были выявлены нарушения санитарного законодательства и предписано провести обязательные мероприятия. Нарушения устранены, все пункты предписания выпол</w:t>
      </w:r>
      <w:r>
        <w:t>нены.</w:t>
      </w:r>
    </w:p>
    <w:p w:rsidR="007E6C27" w:rsidRDefault="00533648">
      <w:pPr>
        <w:pStyle w:val="30"/>
        <w:framePr w:w="9427" w:h="14712" w:hRule="exact" w:wrap="none" w:vAnchor="page" w:hAnchor="page" w:x="1568" w:y="1004"/>
        <w:numPr>
          <w:ilvl w:val="0"/>
          <w:numId w:val="3"/>
        </w:numPr>
        <w:shd w:val="clear" w:color="auto" w:fill="auto"/>
        <w:tabs>
          <w:tab w:val="left" w:pos="1190"/>
        </w:tabs>
        <w:spacing w:before="0"/>
      </w:pPr>
      <w:r>
        <w:t xml:space="preserve">Наличие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объекты недвижимого имущества, в том числе на земельные участки.</w:t>
      </w:r>
    </w:p>
    <w:p w:rsidR="007E6C27" w:rsidRDefault="00533648">
      <w:pPr>
        <w:pStyle w:val="22"/>
        <w:framePr w:w="9427" w:h="14712" w:hRule="exact" w:wrap="none" w:vAnchor="page" w:hAnchor="page" w:x="1568" w:y="1004"/>
        <w:shd w:val="clear" w:color="auto" w:fill="auto"/>
        <w:spacing w:before="0" w:after="356" w:line="350" w:lineRule="exact"/>
        <w:ind w:firstLine="760"/>
        <w:jc w:val="both"/>
      </w:pPr>
      <w:r>
        <w:t xml:space="preserve">На территории Учреждения находится строение, используемое под склад, которое не поставлено на кадастровый учет, право </w:t>
      </w:r>
      <w:r>
        <w:t>собственности и оперативного управления не зарегистрировано.</w:t>
      </w:r>
    </w:p>
    <w:p w:rsidR="007E6C27" w:rsidRDefault="00533648">
      <w:pPr>
        <w:pStyle w:val="32"/>
        <w:framePr w:w="9427" w:h="14712" w:hRule="exact" w:wrap="none" w:vAnchor="page" w:hAnchor="page" w:x="1568" w:y="1004"/>
        <w:numPr>
          <w:ilvl w:val="0"/>
          <w:numId w:val="3"/>
        </w:numPr>
        <w:shd w:val="clear" w:color="auto" w:fill="auto"/>
        <w:tabs>
          <w:tab w:val="left" w:pos="1092"/>
        </w:tabs>
        <w:spacing w:after="38" w:line="280" w:lineRule="exact"/>
      </w:pPr>
      <w:bookmarkStart w:id="3" w:name="bookmark3"/>
      <w:r>
        <w:t>Участие учреждения в иных юридических лицах.</w:t>
      </w:r>
      <w:bookmarkEnd w:id="3"/>
    </w:p>
    <w:p w:rsidR="007E6C27" w:rsidRDefault="00533648">
      <w:pPr>
        <w:pStyle w:val="22"/>
        <w:framePr w:w="9427" w:h="14712" w:hRule="exact" w:wrap="none" w:vAnchor="page" w:hAnchor="page" w:x="1568" w:y="1004"/>
        <w:shd w:val="clear" w:color="auto" w:fill="auto"/>
        <w:spacing w:before="0" w:after="305" w:line="260" w:lineRule="exact"/>
        <w:ind w:firstLine="760"/>
        <w:jc w:val="both"/>
      </w:pPr>
      <w:r>
        <w:t>Учреждение не является участником иных юридических лиц.</w:t>
      </w:r>
    </w:p>
    <w:p w:rsidR="007E6C27" w:rsidRDefault="00533648">
      <w:pPr>
        <w:pStyle w:val="32"/>
        <w:framePr w:w="9427" w:h="14712" w:hRule="exact" w:wrap="none" w:vAnchor="page" w:hAnchor="page" w:x="1568" w:y="1004"/>
        <w:shd w:val="clear" w:color="auto" w:fill="auto"/>
      </w:pPr>
      <w:bookmarkStart w:id="4" w:name="bookmark4"/>
      <w:r>
        <w:t>Информация о замечаниях и нарушениях, выявленных в ходе проведения проверки:</w:t>
      </w:r>
      <w:bookmarkEnd w:id="4"/>
    </w:p>
    <w:p w:rsidR="007E6C27" w:rsidRDefault="00533648">
      <w:pPr>
        <w:pStyle w:val="22"/>
        <w:framePr w:w="9427" w:h="14712" w:hRule="exact" w:wrap="none" w:vAnchor="page" w:hAnchor="page" w:x="1568" w:y="1004"/>
        <w:numPr>
          <w:ilvl w:val="0"/>
          <w:numId w:val="4"/>
        </w:numPr>
        <w:shd w:val="clear" w:color="auto" w:fill="auto"/>
        <w:tabs>
          <w:tab w:val="left" w:pos="1033"/>
        </w:tabs>
        <w:spacing w:before="0" w:line="355" w:lineRule="exact"/>
        <w:ind w:firstLine="760"/>
        <w:jc w:val="both"/>
      </w:pPr>
      <w:r>
        <w:t>На территории Учр</w:t>
      </w:r>
      <w:r>
        <w:t>еждения находится строение, используемое под склад, которое не поставлено на кадастровый учет, право собственности и оперативного управления не зарегистрировано.</w:t>
      </w:r>
    </w:p>
    <w:p w:rsidR="007E6C27" w:rsidRDefault="007E6C27">
      <w:pPr>
        <w:rPr>
          <w:sz w:val="2"/>
          <w:szCs w:val="2"/>
        </w:rPr>
        <w:sectPr w:rsidR="007E6C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6C27" w:rsidRDefault="00533648">
      <w:pPr>
        <w:pStyle w:val="22"/>
        <w:framePr w:w="9437" w:h="12921" w:hRule="exact" w:wrap="none" w:vAnchor="page" w:hAnchor="page" w:x="1563" w:y="1146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308"/>
        <w:ind w:firstLine="760"/>
        <w:jc w:val="both"/>
      </w:pPr>
      <w:r>
        <w:lastRenderedPageBreak/>
        <w:t xml:space="preserve">Нарушение части 3 статьи 298 Гражданского кодекса Российской Федерации, </w:t>
      </w:r>
      <w:r>
        <w:t xml:space="preserve">пункта 3 статьи 12. </w:t>
      </w:r>
      <w:proofErr w:type="gramStart"/>
      <w:r>
        <w:t>Закона Ханты-Мансийского автономного округа - Югры от 16 декабря 2010 года №225-оз «Об управлении и о распоряжении имуществом, находящимся в государственной собственности Ханты-Мансийского автономного округа - Югры», несоблюдение Порядк</w:t>
      </w:r>
      <w:r>
        <w:t>а передачи в аренду имущества, находящегося в государственной собственности Ханты-Мансийского автономного округа - Югры, утвержденным Постановлением Правительства Ханты-Мансийского автономного округа - Югры от 25 сентября 2010 года № 223-и (с 1 апреля 2018</w:t>
      </w:r>
      <w:r>
        <w:t xml:space="preserve"> года: от 27 ноября</w:t>
      </w:r>
      <w:proofErr w:type="gramEnd"/>
      <w:r>
        <w:t xml:space="preserve"> </w:t>
      </w:r>
      <w:proofErr w:type="gramStart"/>
      <w:r>
        <w:t>2017 года № 466-п).</w:t>
      </w:r>
      <w:proofErr w:type="gramEnd"/>
    </w:p>
    <w:p w:rsidR="007E6C27" w:rsidRDefault="00533648">
      <w:pPr>
        <w:pStyle w:val="32"/>
        <w:framePr w:w="9437" w:h="12921" w:hRule="exact" w:wrap="none" w:vAnchor="page" w:hAnchor="page" w:x="1563" w:y="1146"/>
        <w:shd w:val="clear" w:color="auto" w:fill="auto"/>
        <w:spacing w:line="336" w:lineRule="exact"/>
      </w:pPr>
      <w:bookmarkStart w:id="5" w:name="bookmark5"/>
      <w:r>
        <w:t>Выводы и предложения (рекомендации) по результатам проведения проверки:</w:t>
      </w:r>
      <w:bookmarkEnd w:id="5"/>
    </w:p>
    <w:p w:rsidR="007E6C27" w:rsidRDefault="00533648">
      <w:pPr>
        <w:pStyle w:val="22"/>
        <w:framePr w:w="9437" w:h="12921" w:hRule="exact" w:wrap="none" w:vAnchor="page" w:hAnchor="page" w:x="1563" w:y="1146"/>
        <w:numPr>
          <w:ilvl w:val="0"/>
          <w:numId w:val="5"/>
        </w:numPr>
        <w:shd w:val="clear" w:color="auto" w:fill="auto"/>
        <w:tabs>
          <w:tab w:val="left" w:pos="1382"/>
        </w:tabs>
        <w:spacing w:before="0"/>
        <w:ind w:firstLine="760"/>
        <w:jc w:val="both"/>
      </w:pPr>
      <w:r>
        <w:t>Не допускать нарушения норм Гражданского кодекса Российской Федерации (часть 3 статьи 298). Обеспечить соблюдения требований, установленных Зако</w:t>
      </w:r>
      <w:r>
        <w:t>ном Ханты-Мансийского автономного округа - Югры от 16 декабря 2010 года №225-оз «Об управлении и о распоряжении имуществом, находящимся в государственной собственности Хант</w:t>
      </w:r>
      <w:proofErr w:type="gramStart"/>
      <w:r>
        <w:t>ы-</w:t>
      </w:r>
      <w:proofErr w:type="gramEnd"/>
      <w:r>
        <w:t xml:space="preserve"> Мансийского автономного округа - Югры» при передаче во временное владение и (или)</w:t>
      </w:r>
      <w:r>
        <w:t xml:space="preserve"> пользование третьим лицам имущества, находящегося в оперативном управлении.</w:t>
      </w:r>
    </w:p>
    <w:p w:rsidR="007E6C27" w:rsidRDefault="00533648">
      <w:pPr>
        <w:pStyle w:val="22"/>
        <w:framePr w:w="9437" w:h="12921" w:hRule="exact" w:wrap="none" w:vAnchor="page" w:hAnchor="page" w:x="1563" w:y="1146"/>
        <w:shd w:val="clear" w:color="auto" w:fill="auto"/>
        <w:spacing w:before="0"/>
        <w:ind w:firstLine="760"/>
        <w:jc w:val="both"/>
      </w:pPr>
      <w:r>
        <w:t>При заключении государственных контрактов на оказание услуг по охране на следующий период, обеспечить исполнение Федерального закона от 26 июля 2006 года № 135-ФЗ «О защите конкур</w:t>
      </w:r>
      <w:r>
        <w:t>енции», закона Хант</w:t>
      </w:r>
      <w:proofErr w:type="gramStart"/>
      <w:r>
        <w:t>ы-</w:t>
      </w:r>
      <w:proofErr w:type="gramEnd"/>
      <w:r>
        <w:t xml:space="preserve"> Мансийского автономного округа - Югры от 16 декабря 2010 года № 225-оз «Об управлении и о распоряжении имуществом, находящимся в государственной собственности Ханты-Мансийского автономного округа — Югры» и постановления Правительства </w:t>
      </w:r>
      <w:r>
        <w:t>Ханты-Мансийского автономного округа - Югры от 27 ноября 2017 года № 466-п «О порядке предоставления в аренду имущества, находящегося в государственной собственности Хант</w:t>
      </w:r>
      <w:proofErr w:type="gramStart"/>
      <w:r>
        <w:t>ы-</w:t>
      </w:r>
      <w:proofErr w:type="gramEnd"/>
      <w:r>
        <w:t xml:space="preserve"> Мансийского автономного округа - Югры, порядке согласования предоставления в аренду</w:t>
      </w:r>
      <w:r>
        <w:t xml:space="preserve"> имущества, закрепленного за государственными учреждениями Ханты-Мансийского автономного округа - Югры на праве оперативного управления».</w:t>
      </w:r>
    </w:p>
    <w:p w:rsidR="007E6C27" w:rsidRDefault="00533648">
      <w:pPr>
        <w:pStyle w:val="22"/>
        <w:framePr w:w="9437" w:h="12921" w:hRule="exact" w:wrap="none" w:vAnchor="page" w:hAnchor="page" w:x="1563" w:y="1146"/>
        <w:numPr>
          <w:ilvl w:val="0"/>
          <w:numId w:val="5"/>
        </w:numPr>
        <w:shd w:val="clear" w:color="auto" w:fill="auto"/>
        <w:tabs>
          <w:tab w:val="left" w:pos="1104"/>
        </w:tabs>
        <w:spacing w:before="0"/>
        <w:ind w:firstLine="760"/>
        <w:jc w:val="both"/>
      </w:pPr>
      <w:r>
        <w:t xml:space="preserve">В срок до 1 декабря 2019 года осуществить мероприятия по постановке на </w:t>
      </w:r>
      <w:r>
        <w:t>кадастровый учет и регистрацию права оперативно</w:t>
      </w:r>
      <w:r>
        <w:t>го управления на объект «Склад».</w:t>
      </w:r>
    </w:p>
    <w:p w:rsidR="0012521A" w:rsidRDefault="0012521A" w:rsidP="0012521A">
      <w:pPr>
        <w:pStyle w:val="22"/>
        <w:framePr w:w="9437" w:h="12921" w:hRule="exact" w:wrap="none" w:vAnchor="page" w:hAnchor="page" w:x="1563" w:y="1146"/>
        <w:shd w:val="clear" w:color="auto" w:fill="auto"/>
        <w:tabs>
          <w:tab w:val="left" w:pos="1104"/>
        </w:tabs>
        <w:spacing w:before="0"/>
        <w:jc w:val="both"/>
      </w:pPr>
    </w:p>
    <w:p w:rsidR="0012521A" w:rsidRDefault="0012521A" w:rsidP="0012521A">
      <w:pPr>
        <w:pStyle w:val="22"/>
        <w:framePr w:w="9437" w:h="12921" w:hRule="exact" w:wrap="none" w:vAnchor="page" w:hAnchor="page" w:x="1563" w:y="1146"/>
        <w:shd w:val="clear" w:color="auto" w:fill="auto"/>
        <w:spacing w:before="0" w:line="322" w:lineRule="exact"/>
        <w:ind w:left="28"/>
        <w:jc w:val="both"/>
      </w:pPr>
      <w:r>
        <w:t>Заместитель начальника отдела</w:t>
      </w:r>
      <w:r>
        <w:br/>
        <w:t>некоммерческих организаций</w:t>
      </w:r>
      <w:r>
        <w:br/>
      </w:r>
      <w:proofErr w:type="spellStart"/>
      <w:r>
        <w:t>Депимущества</w:t>
      </w:r>
      <w:proofErr w:type="spellEnd"/>
      <w:r>
        <w:t xml:space="preserve"> Югры</w:t>
      </w:r>
      <w:r>
        <w:t xml:space="preserve"> </w:t>
      </w:r>
      <w:r>
        <w:t xml:space="preserve">Е.В. </w:t>
      </w:r>
      <w:r>
        <w:t xml:space="preserve">                                                                               У</w:t>
      </w:r>
      <w:r>
        <w:t>сманова</w:t>
      </w:r>
    </w:p>
    <w:p w:rsidR="0012521A" w:rsidRDefault="0012521A" w:rsidP="0012521A">
      <w:pPr>
        <w:pStyle w:val="22"/>
        <w:framePr w:w="9437" w:h="12921" w:hRule="exact" w:wrap="none" w:vAnchor="page" w:hAnchor="page" w:x="1563" w:y="1146"/>
        <w:shd w:val="clear" w:color="auto" w:fill="auto"/>
        <w:tabs>
          <w:tab w:val="left" w:pos="1104"/>
        </w:tabs>
        <w:spacing w:before="0"/>
        <w:jc w:val="both"/>
      </w:pPr>
    </w:p>
    <w:p w:rsidR="007E6C27" w:rsidRDefault="007E6C27">
      <w:pPr>
        <w:rPr>
          <w:sz w:val="2"/>
          <w:szCs w:val="2"/>
        </w:rPr>
        <w:sectPr w:rsidR="007E6C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7E6C27" w:rsidRDefault="00533648">
      <w:pPr>
        <w:pStyle w:val="22"/>
        <w:framePr w:w="9446" w:h="332" w:hRule="exact" w:wrap="none" w:vAnchor="page" w:hAnchor="page" w:x="1558" w:y="1157"/>
        <w:shd w:val="clear" w:color="auto" w:fill="auto"/>
        <w:spacing w:before="0" w:line="260" w:lineRule="exact"/>
        <w:jc w:val="right"/>
      </w:pPr>
      <w:r>
        <w:lastRenderedPageBreak/>
        <w:t>Приложение 1</w:t>
      </w:r>
    </w:p>
    <w:p w:rsidR="007E6C27" w:rsidRDefault="00533648">
      <w:pPr>
        <w:pStyle w:val="22"/>
        <w:framePr w:w="9446" w:h="13381" w:hRule="exact" w:wrap="none" w:vAnchor="page" w:hAnchor="page" w:x="1558" w:y="1862"/>
        <w:shd w:val="clear" w:color="auto" w:fill="auto"/>
        <w:spacing w:before="0" w:after="54" w:line="260" w:lineRule="exact"/>
        <w:jc w:val="center"/>
      </w:pPr>
      <w:r>
        <w:t>Перечень нормативных и иных правовых актов, соблюдение которых</w:t>
      </w:r>
    </w:p>
    <w:p w:rsidR="007E6C27" w:rsidRDefault="00533648">
      <w:pPr>
        <w:pStyle w:val="22"/>
        <w:framePr w:w="9446" w:h="13381" w:hRule="exact" w:wrap="none" w:vAnchor="page" w:hAnchor="page" w:x="1558" w:y="1862"/>
        <w:shd w:val="clear" w:color="auto" w:fill="auto"/>
        <w:spacing w:before="0" w:after="372" w:line="260" w:lineRule="exact"/>
        <w:jc w:val="center"/>
      </w:pPr>
      <w:r>
        <w:t>проверено в ходе проверки</w:t>
      </w:r>
    </w:p>
    <w:p w:rsidR="007E6C27" w:rsidRDefault="00533648">
      <w:pPr>
        <w:pStyle w:val="22"/>
        <w:framePr w:w="9446" w:h="13381" w:hRule="exact" w:wrap="none" w:vAnchor="page" w:hAnchor="page" w:x="1558" w:y="1862"/>
        <w:numPr>
          <w:ilvl w:val="0"/>
          <w:numId w:val="6"/>
        </w:numPr>
        <w:shd w:val="clear" w:color="auto" w:fill="auto"/>
        <w:tabs>
          <w:tab w:val="left" w:pos="1054"/>
        </w:tabs>
        <w:spacing w:before="0" w:line="298" w:lineRule="exact"/>
        <w:ind w:firstLine="760"/>
        <w:jc w:val="both"/>
      </w:pPr>
      <w:r>
        <w:t>Гражданский Кодекс Российской Федерации (ст. 123.21, 296, 298);</w:t>
      </w:r>
    </w:p>
    <w:p w:rsidR="007E6C27" w:rsidRDefault="00533648">
      <w:pPr>
        <w:pStyle w:val="22"/>
        <w:framePr w:w="9446" w:h="13381" w:hRule="exact" w:wrap="none" w:vAnchor="page" w:hAnchor="page" w:x="1558" w:y="1862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298" w:lineRule="exact"/>
        <w:ind w:firstLine="760"/>
        <w:jc w:val="both"/>
      </w:pPr>
      <w:r>
        <w:t xml:space="preserve">Федеральный Закон Российской Федерации от 12 января </w:t>
      </w:r>
      <w:r>
        <w:rPr>
          <w:rStyle w:val="2Garamond14pt"/>
        </w:rPr>
        <w:t>1996</w:t>
      </w:r>
      <w:r>
        <w:t xml:space="preserve"> года № </w:t>
      </w:r>
      <w:r>
        <w:rPr>
          <w:rStyle w:val="2Garamond"/>
        </w:rPr>
        <w:t>7</w:t>
      </w:r>
      <w:r>
        <w:t xml:space="preserve">- </w:t>
      </w:r>
      <w:r>
        <w:t>ФЗ «О некоммерческих организациях»;</w:t>
      </w:r>
    </w:p>
    <w:p w:rsidR="007E6C27" w:rsidRDefault="00533648">
      <w:pPr>
        <w:pStyle w:val="22"/>
        <w:framePr w:w="9446" w:h="13381" w:hRule="exact" w:wrap="none" w:vAnchor="page" w:hAnchor="page" w:x="1558" w:y="1862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298" w:lineRule="exact"/>
        <w:ind w:firstLine="760"/>
        <w:jc w:val="both"/>
      </w:pPr>
      <w:r>
        <w:t>Закон Ханты-Мансийского автономного округа - Югры от 16 декабря 2010 года № 225-оз «Об управлении и о распоряжении имуществом, находящимся в государственной собственности Ханты-Мансийского автономного округа - Югры»;</w:t>
      </w:r>
    </w:p>
    <w:p w:rsidR="007E6C27" w:rsidRDefault="00533648">
      <w:pPr>
        <w:pStyle w:val="22"/>
        <w:framePr w:w="9446" w:h="13381" w:hRule="exact" w:wrap="none" w:vAnchor="page" w:hAnchor="page" w:x="1558" w:y="1862"/>
        <w:numPr>
          <w:ilvl w:val="0"/>
          <w:numId w:val="6"/>
        </w:numPr>
        <w:shd w:val="clear" w:color="auto" w:fill="auto"/>
        <w:tabs>
          <w:tab w:val="left" w:pos="1033"/>
        </w:tabs>
        <w:spacing w:before="0" w:line="298" w:lineRule="exact"/>
        <w:ind w:firstLine="760"/>
        <w:jc w:val="both"/>
      </w:pPr>
      <w:r>
        <w:t>Пос</w:t>
      </w:r>
      <w:r>
        <w:t>тановление Правительства Ханты-Мансийского автономного округа - Югры от 26 ноября 2010 года №316-п «Об утверждении Порядка создания и ликвидации государственных учреждений Ханты-Мансийского автономного округа - Югры, а также утверждения их уставов и внесен</w:t>
      </w:r>
      <w:r>
        <w:t>ия в них изменений»;</w:t>
      </w:r>
    </w:p>
    <w:p w:rsidR="007E6C27" w:rsidRDefault="00533648">
      <w:pPr>
        <w:pStyle w:val="22"/>
        <w:framePr w:w="9446" w:h="13381" w:hRule="exact" w:wrap="none" w:vAnchor="page" w:hAnchor="page" w:x="1558" w:y="1862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98" w:lineRule="exact"/>
        <w:ind w:firstLine="760"/>
        <w:jc w:val="both"/>
      </w:pPr>
      <w:r>
        <w:t>Постановление Правительства Ханты-Мансийского автономного округа - Югры от 8' октября 2010 года № 229-п «О порядке формирования государственного задания в отношении государственных учреждений Ханты-Мансийского автономного округа - Югры</w:t>
      </w:r>
      <w:r>
        <w:t xml:space="preserve"> и финансового обеспечения выполнения государственного задания»;</w:t>
      </w:r>
    </w:p>
    <w:p w:rsidR="007E6C27" w:rsidRDefault="00533648">
      <w:pPr>
        <w:pStyle w:val="22"/>
        <w:framePr w:w="9446" w:h="13381" w:hRule="exact" w:wrap="none" w:vAnchor="page" w:hAnchor="page" w:x="1558" w:y="1862"/>
        <w:numPr>
          <w:ilvl w:val="0"/>
          <w:numId w:val="6"/>
        </w:numPr>
        <w:shd w:val="clear" w:color="auto" w:fill="auto"/>
        <w:tabs>
          <w:tab w:val="left" w:pos="1033"/>
        </w:tabs>
        <w:spacing w:before="0" w:line="298" w:lineRule="exact"/>
        <w:ind w:firstLine="760"/>
        <w:jc w:val="both"/>
      </w:pPr>
      <w:r>
        <w:t>Постановление Правительства Ханты-Мансийского автономного округа - Югры от 25 сентября 2010 года № 223-п «О порядке передачи в аренду имущества, находящегося в государственной собственности Х</w:t>
      </w:r>
      <w:r>
        <w:t>анты-Мансийского автономного округа - Югры»;</w:t>
      </w:r>
    </w:p>
    <w:p w:rsidR="007E6C27" w:rsidRDefault="00533648">
      <w:pPr>
        <w:pStyle w:val="22"/>
        <w:framePr w:w="9446" w:h="13381" w:hRule="exact" w:wrap="none" w:vAnchor="page" w:hAnchor="page" w:x="1558" w:y="1862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98" w:lineRule="exact"/>
        <w:ind w:firstLine="760"/>
        <w:jc w:val="both"/>
      </w:pPr>
      <w:r>
        <w:t>Постановление Правительства Ханты-Мансийского автономного округа - Югры от 27 ноября 2017 года № 466-п «О порядке предоставления в аренду имущества, находящегося в государственной собственности Ханты-Мансийского</w:t>
      </w:r>
      <w:r>
        <w:t xml:space="preserve"> автономного округа - Югры, порядке согласования предоставления в аренду имущества, закрепленного за государственными учреждениями Хант</w:t>
      </w:r>
      <w:proofErr w:type="gramStart"/>
      <w:r>
        <w:t>ы-</w:t>
      </w:r>
      <w:proofErr w:type="gramEnd"/>
      <w:r>
        <w:t xml:space="preserve"> Мансийского автономного округа - Югры на праве оперативного управления»</w:t>
      </w:r>
    </w:p>
    <w:p w:rsidR="007E6C27" w:rsidRDefault="00533648">
      <w:pPr>
        <w:pStyle w:val="22"/>
        <w:framePr w:w="9446" w:h="13381" w:hRule="exact" w:wrap="none" w:vAnchor="page" w:hAnchor="page" w:x="1558" w:y="1862"/>
        <w:numPr>
          <w:ilvl w:val="0"/>
          <w:numId w:val="6"/>
        </w:numPr>
        <w:shd w:val="clear" w:color="auto" w:fill="auto"/>
        <w:tabs>
          <w:tab w:val="left" w:pos="1052"/>
        </w:tabs>
        <w:spacing w:before="0" w:line="298" w:lineRule="exact"/>
        <w:ind w:firstLine="760"/>
        <w:jc w:val="both"/>
      </w:pPr>
      <w:r>
        <w:t xml:space="preserve">Постановление Правительства Ханты-Мансийского </w:t>
      </w:r>
      <w:r>
        <w:t>автономного округа - Югры от 16 декабря 2010 года № 342-п «О порядке формирования и ведения перечня особо ценного движимого имущества бюджетного или автономного учреждения Ханты-Мансийского автономного округа - Югры»;</w:t>
      </w:r>
    </w:p>
    <w:p w:rsidR="007E6C27" w:rsidRDefault="00533648">
      <w:pPr>
        <w:pStyle w:val="22"/>
        <w:framePr w:w="9446" w:h="13381" w:hRule="exact" w:wrap="none" w:vAnchor="page" w:hAnchor="page" w:x="1558" w:y="1862"/>
        <w:numPr>
          <w:ilvl w:val="0"/>
          <w:numId w:val="6"/>
        </w:numPr>
        <w:shd w:val="clear" w:color="auto" w:fill="auto"/>
        <w:tabs>
          <w:tab w:val="left" w:pos="1033"/>
        </w:tabs>
        <w:spacing w:before="0" w:line="298" w:lineRule="exact"/>
        <w:ind w:firstLine="760"/>
        <w:jc w:val="both"/>
      </w:pPr>
      <w:r>
        <w:t xml:space="preserve">Постановление Правительства </w:t>
      </w:r>
      <w:r>
        <w:t>Ханты-Мансийского автономного округа - Югры от 14 января 2011 года № 2-п «О порядке передачи в безвозмездное пользование объектов государственной собственности Ханты-Мансийского автономного округа - Югры»;</w:t>
      </w:r>
    </w:p>
    <w:p w:rsidR="007E6C27" w:rsidRDefault="00533648">
      <w:pPr>
        <w:pStyle w:val="22"/>
        <w:framePr w:w="9446" w:h="13381" w:hRule="exact" w:wrap="none" w:vAnchor="page" w:hAnchor="page" w:x="1558" w:y="1862"/>
        <w:numPr>
          <w:ilvl w:val="0"/>
          <w:numId w:val="6"/>
        </w:numPr>
        <w:shd w:val="clear" w:color="auto" w:fill="auto"/>
        <w:tabs>
          <w:tab w:val="left" w:pos="1158"/>
        </w:tabs>
        <w:spacing w:before="0" w:line="298" w:lineRule="exact"/>
        <w:ind w:firstLine="760"/>
        <w:jc w:val="both"/>
      </w:pPr>
      <w:r>
        <w:t>Постановление Правительства Ханты-Мансийского авто</w:t>
      </w:r>
      <w:r>
        <w:t>номного округа - Югры от 6 апреля 2011 года № 115-п «Об учете государственного имущества Ханты-Мансийского автономного округа - Югры»;</w:t>
      </w:r>
    </w:p>
    <w:p w:rsidR="007E6C27" w:rsidRDefault="00533648">
      <w:pPr>
        <w:pStyle w:val="22"/>
        <w:framePr w:w="9446" w:h="13381" w:hRule="exact" w:wrap="none" w:vAnchor="page" w:hAnchor="page" w:x="1558" w:y="1862"/>
        <w:numPr>
          <w:ilvl w:val="0"/>
          <w:numId w:val="6"/>
        </w:numPr>
        <w:shd w:val="clear" w:color="auto" w:fill="auto"/>
        <w:tabs>
          <w:tab w:val="left" w:pos="1363"/>
        </w:tabs>
        <w:spacing w:before="0" w:line="298" w:lineRule="exact"/>
        <w:ind w:firstLine="760"/>
        <w:jc w:val="both"/>
      </w:pPr>
      <w:r>
        <w:t>Приказ Департамента государственной собственности Хант</w:t>
      </w:r>
      <w:proofErr w:type="gramStart"/>
      <w:r>
        <w:t>ы-</w:t>
      </w:r>
      <w:proofErr w:type="gramEnd"/>
      <w:r>
        <w:t xml:space="preserve"> Мансийского автономного округа — Югры от 1 февраля 2010 г. № 2-н</w:t>
      </w:r>
      <w:r>
        <w:t>п «О порядке ликвидации и (или) списания имущества, находящегося в собственности Ханты- Мансийского автономного округа - Югры».</w:t>
      </w:r>
    </w:p>
    <w:p w:rsidR="007E6C27" w:rsidRDefault="007E6C27">
      <w:pPr>
        <w:rPr>
          <w:sz w:val="2"/>
          <w:szCs w:val="2"/>
        </w:rPr>
      </w:pPr>
    </w:p>
    <w:sectPr w:rsidR="007E6C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48" w:rsidRDefault="00533648">
      <w:r>
        <w:separator/>
      </w:r>
    </w:p>
  </w:endnote>
  <w:endnote w:type="continuationSeparator" w:id="0">
    <w:p w:rsidR="00533648" w:rsidRDefault="0053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48" w:rsidRDefault="00533648"/>
  </w:footnote>
  <w:footnote w:type="continuationSeparator" w:id="0">
    <w:p w:rsidR="00533648" w:rsidRDefault="005336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49A"/>
    <w:multiLevelType w:val="multilevel"/>
    <w:tmpl w:val="4A54D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714A2"/>
    <w:multiLevelType w:val="multilevel"/>
    <w:tmpl w:val="5EE85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24C33"/>
    <w:multiLevelType w:val="multilevel"/>
    <w:tmpl w:val="FEBC1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1761FB"/>
    <w:multiLevelType w:val="multilevel"/>
    <w:tmpl w:val="51406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5C50FC"/>
    <w:multiLevelType w:val="multilevel"/>
    <w:tmpl w:val="34620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FF14D8"/>
    <w:multiLevelType w:val="multilevel"/>
    <w:tmpl w:val="C172E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27"/>
    <w:rsid w:val="0012521A"/>
    <w:rsid w:val="00533648"/>
    <w:rsid w:val="007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aramond14pt">
    <w:name w:val="Основной текст (2) + Garamond;14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aramond">
    <w:name w:val="Основной текст (2) + Garamond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ind w:firstLine="740"/>
      <w:jc w:val="both"/>
      <w:outlineLvl w:val="0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70" w:lineRule="exact"/>
      <w:ind w:firstLine="7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aramond14pt">
    <w:name w:val="Основной текст (2) + Garamond;14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aramond">
    <w:name w:val="Основной текст (2) + Garamond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ind w:firstLine="740"/>
      <w:jc w:val="both"/>
      <w:outlineLvl w:val="0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70" w:lineRule="exact"/>
      <w:ind w:firstLine="7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2234</Words>
  <Characters>12737</Characters>
  <Application>Microsoft Office Word</Application>
  <DocSecurity>0</DocSecurity>
  <Lines>106</Lines>
  <Paragraphs>29</Paragraphs>
  <ScaleCrop>false</ScaleCrop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Gulya</cp:lastModifiedBy>
  <cp:revision>1</cp:revision>
  <dcterms:created xsi:type="dcterms:W3CDTF">2019-10-23T12:06:00Z</dcterms:created>
  <dcterms:modified xsi:type="dcterms:W3CDTF">2019-10-23T12:08:00Z</dcterms:modified>
</cp:coreProperties>
</file>